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sz w:val="26"/>
          <w:szCs w:val="26"/>
        </w:rPr>
      </w:pPr>
      <w:r>
        <w:rPr>
          <w:rFonts w:eastAsia="Calibri"/>
          <w:b/>
          <w:i w:val="false"/>
          <w:iCs w:val="false"/>
          <w:sz w:val="26"/>
          <w:szCs w:val="26"/>
        </w:rPr>
        <w:t xml:space="preserve">Технические требования 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jc w:val="center"/>
        <w:rPr>
          <w:b/>
          <w:bCs/>
          <w:sz w:val="26"/>
          <w:szCs w:val="26"/>
        </w:rPr>
      </w:pPr>
      <w:r>
        <w:rPr>
          <w:rFonts w:eastAsia="Times New Roman" w:cs="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"О</w:t>
      </w:r>
      <w:r>
        <w:rPr>
          <w:rFonts w:eastAsia="Times New Roman" w:cs=""/>
          <w:b/>
          <w:bCs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для нужд филиала "Хабаровские электрические сети", ЮРЭС, СРЭС</w:t>
      </w:r>
    </w:p>
    <w:p>
      <w:pPr>
        <w:pStyle w:val="Normal"/>
        <w:bidi w:val="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rFonts w:eastAsia="Calibri"/>
          <w:b/>
          <w:i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</w:rPr>
        <w:t>(302601-КС ПИР СМР-2026-ДРСК-ХЭС)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color w:val="auto"/>
        </w:rPr>
      </w:pPr>
      <w:r>
        <w:rPr>
          <w:b/>
          <w:color w:val="000000"/>
        </w:rPr>
        <w:t>СОДЕРЖАНИЕ</w:t>
      </w:r>
    </w:p>
    <w:p>
      <w:pPr>
        <w:pStyle w:val="Normal"/>
        <w:jc w:val="center"/>
        <w:rPr>
          <w:color w:val="auto"/>
        </w:rPr>
      </w:pPr>
      <w:r>
        <w:rPr>
          <w:color w:val="auto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hyperlink w:anchor="_Toc54646395">
            <w:r>
              <w:rPr>
                <w:rStyle w:val="Hyperlink"/>
                <w:vanish w:val="false"/>
                <w:color w:val="000000"/>
              </w:rPr>
              <w:t>1.Общие сведения</w:t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fldChar w:fldCharType="begin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separate"/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</w:r>
            <w:r>
              <w:rPr>
                <w:rStyle w:val="Hyperlink"/>
                <w:vanish w:val="false"/>
                <w:color w:val="000000"/>
              </w:rPr>
              <w:fldChar w:fldCharType="end"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Hyperlink"/>
                <w:vanish/>
              </w:rPr>
              <w:fldChar w:fldCharType="begin"/>
            </w:r>
            <w:r>
              <w:rPr>
                <w:webHidden/>
              </w:rPr>
              <w:fldChar w:fldCharType="end"/>
            </w:r>
            <w:r>
              <w:rPr>
                <w:rStyle w:val="Hyperlink"/>
                <w:vanish/>
              </w:rPr>
              <w:instrText xml:space="preserve"> PAGEREF _Toc54646395 \h </w:instrText>
            </w:r>
            <w:r>
              <w:rPr>
                <w:rStyle w:val="Hyperlink"/>
                <w:vanish/>
              </w:rPr>
              <w:fldChar w:fldCharType="separate"/>
            </w:r>
            <w:r>
              <w:rPr>
                <w:rStyle w:val="Hyperlink"/>
                <w:vanish/>
              </w:rPr>
              <w:t>3</w:t>
            </w:r>
            <w:r>
              <w:rPr>
                <w:rStyle w:val="Hyperlink"/>
                <w:vanish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Обозначения и сокращения...............................................................................................................................4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Наименование закупаемой продукции............................................................................................................4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color w:val="000000"/>
              <w:sz w:val="24"/>
              <w:szCs w:val="24"/>
            </w:rPr>
          </w:pPr>
          <w:r>
            <w:rPr>
              <w:rStyle w:val="Style14"/>
              <w:iCs/>
              <w:vanish w:val="false"/>
              <w:color w:val="000000"/>
            </w:rPr>
            <w:t>1.3.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Цель выполнения работ</w:t>
          </w:r>
          <w:r>
            <w:rPr>
              <w:rStyle w:val="Style14"/>
              <w:vanish/>
              <w:color w:val="000000"/>
            </w:rPr>
            <w:t>.....................0000 ...............................................................................................................4...............................................................................................................................4</w:t>
            <w:tab/>
          </w:r>
          <w:r>
            <w:rPr>
              <w:rStyle w:val="Style14"/>
              <w:vanish/>
              <w:color w:val="000000"/>
            </w:rPr>
            <w:fldChar w:fldCharType="begin"/>
          </w:r>
          <w:r>
            <w:rPr>
              <w:rStyle w:val="Style14"/>
              <w:vanish/>
              <w:color w:val="000000"/>
            </w:rPr>
            <w:instrText xml:space="preserve"> PAGEREF _Toc54646409 \h </w:instrText>
          </w:r>
          <w:r>
            <w:rPr>
              <w:rStyle w:val="Style14"/>
              <w:vanish/>
              <w:color w:val="000000"/>
            </w:rPr>
            <w:fldChar w:fldCharType="separate"/>
          </w:r>
          <w:r>
            <w:rPr>
              <w:rStyle w:val="Style14"/>
              <w:vanish/>
              <w:color w:val="000000"/>
            </w:rPr>
            <w:t>Ошибка: источник перекрёстной ссылки не найден</w:t>
          </w:r>
          <w:r>
            <w:rPr>
              <w:rStyle w:val="Style14"/>
              <w:vanish/>
              <w:color w:val="000000"/>
            </w:rPr>
            <w:fldChar w:fldCharType="end"/>
          </w:r>
          <w:r>
            <w:rPr>
              <w:rStyle w:val="Style14"/>
              <w:vanish/>
              <w:color w:val="000000"/>
            </w:rPr>
            <w:t xml:space="preserve">...... </w:t>
          </w:r>
          <w:r>
            <w:rPr/>
            <w:t>....................................................................................................................................4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>2.</w:t>
          </w:r>
          <w:r>
            <w:rPr>
              <w:rStyle w:val="Style14"/>
              <w:iCs/>
              <w:color w:val="000000"/>
            </w:rPr>
            <w:t>Требования к продукции</w:t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_Toc54646403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  <w:r>
            <w:rPr>
              <w:vanish/>
            </w:rPr>
            <w:t xml:space="preserve">          </w:t>
            <w:tab/>
            <w:t>Ошибка: источник перекрёстной ссылки не найден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объемам и срокам выполнения работ......................................................................................4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видам и объемам работ..............................................................................................................5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sz w:val="22"/>
              <w:szCs w:val="22"/>
            </w:rPr>
          </w:pPr>
          <w:r>
            <w:rPr>
              <w:color w:val="000000"/>
            </w:rPr>
            <w:t>2.1.2.        Требования к срокам выполнения работ…………………………………………...………………………..</w:t>
          </w:r>
          <w:r>
            <w:rPr>
              <w:color w:val="000000"/>
              <w:sz w:val="22"/>
              <w:szCs w:val="22"/>
            </w:rPr>
            <w:t>5</w:t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1. Требования по срокам выполнения работ </w:t>
            <w:tab/>
          </w:r>
          <w:r>
            <w:rPr>
              <w:color w:val="000000"/>
            </w:rPr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качеству работ</w:t>
            <w:tab/>
          </w:r>
          <w:r>
            <w:rPr>
              <w:color w:val="000000"/>
              <w:sz w:val="24"/>
              <w:szCs w:val="24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vanish w:val="false"/>
              <w:color w:val="000000"/>
            </w:rPr>
            <w:t>2.1.2.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срокам выполнения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_Toc54646407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Таблица </w:t>
          </w:r>
          <w:r>
            <w:rPr>
              <w:rStyle w:val="Style14"/>
              <w:color w:val="000000"/>
            </w:rPr>
            <w:t xml:space="preserve">2. Требования к качеству </w:t>
            <w:tab/>
          </w:r>
          <w:r>
            <w:rPr>
              <w:color w:val="000000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r>
            <w:rPr>
              <w:rStyle w:val="Style14"/>
              <w:iCs/>
              <w:vanish w:val="false"/>
              <w:color w:val="000000"/>
            </w:rPr>
            <w:t>2.2.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качеству работ</w:t>
            <w:tab/>
          </w:r>
          <w:r>
            <w:rPr>
              <w:vanish/>
            </w:rPr>
            <w:fldChar w:fldCharType="begin"/>
          </w:r>
          <w:r>
            <w:rPr>
              <w:vanish/>
            </w:rPr>
            <w:instrText xml:space="preserve"> PAGEREF _Toc54646409 \h </w:instrText>
          </w:r>
          <w:r>
            <w:rPr>
              <w:vanish/>
            </w:rPr>
            <w:fldChar w:fldCharType="separate"/>
          </w:r>
          <w:r>
            <w:rPr>
              <w:vanish/>
            </w:rPr>
            <w:t>Ошибка: источник перекрёстной ссылки не найден</w:t>
          </w:r>
          <w:r>
            <w:rPr>
              <w:vanish/>
            </w:rPr>
            <w:fldChar w:fldCharType="end"/>
          </w:r>
        </w:p>
        <w:p>
          <w:pPr>
            <w:pStyle w:val="TOC1"/>
            <w:rPr/>
          </w:pPr>
          <w:r>
            <w:rPr>
              <w:rStyle w:val="Style14"/>
              <w:vanish w:val="false"/>
              <w:color w:val="000000"/>
            </w:rPr>
            <w:t xml:space="preserve"> </w:t>
          </w:r>
          <w:r>
            <w:rPr>
              <w:rStyle w:val="Style14"/>
              <w:color w:val="000000"/>
            </w:rPr>
            <w:t xml:space="preserve">3. Требования к документации по ценообразованию на этапе заключения договора 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>
              <w:iCs/>
              <w:color w:val="000000"/>
            </w:rPr>
            <w:t>3</w:t>
          </w:r>
          <w:r>
            <w:rPr>
              <w:rStyle w:val="Style14"/>
              <w:iCs/>
              <w:vanish w:val="false"/>
              <w:color w:val="000000"/>
            </w:rPr>
            <w:t>.1.</w:t>
          </w:r>
          <w:r>
            <w:rPr>
              <w:rStyle w:val="Style14"/>
              <w:rFonts w:eastAsia="" w:cs="" w:ascii="Calibri" w:hAnsi="Calibri" w:asciiTheme="minorHAnsi" w:cstheme="minorBidi" w:eastAsiaTheme="minorEastAsia" w:hAnsiTheme="minorHAnsi"/>
              <w:color w:val="000000"/>
              <w:sz w:val="24"/>
              <w:szCs w:val="24"/>
            </w:rPr>
            <w:tab/>
          </w:r>
          <w:r>
            <w:rPr>
              <w:rStyle w:val="Style14"/>
              <w:color w:val="000000"/>
            </w:rPr>
            <w:t>Требования к составлению сметной документации(при заключении договора)</w:t>
            <w:tab/>
          </w:r>
          <w:r>
            <w:rPr>
              <w:color w:val="000000"/>
            </w:rPr>
            <w:t>15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561" w:hanging="0"/>
            <w:rPr/>
          </w:pPr>
          <w:r>
            <w:rPr/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>4. Перечень Давальческих материалов и запасных частей, Давальческого оборудования будет указан в техническом требовании при заключения дополнительного соглашения…………………………………………………………………………………………...15</w:t>
          </w:r>
        </w:p>
        <w:p>
          <w:pPr>
            <w:pStyle w:val="Normal"/>
            <w:jc w:val="both"/>
            <w:rPr>
              <w:color w:val="auto"/>
            </w:rPr>
          </w:pPr>
          <w:r>
            <w:rPr>
              <w:rFonts w:eastAsia="" w:eastAsiaTheme="minorEastAsia"/>
              <w:b/>
              <w:color w:val="000000"/>
              <w:sz w:val="24"/>
              <w:szCs w:val="24"/>
            </w:rPr>
            <w:t xml:space="preserve">5. </w:t>
          </w:r>
          <w:r>
            <w:rPr>
              <w:rFonts w:eastAsia="Times New Roman" w:cs="Times New Roman"/>
              <w:b/>
              <w:bCs/>
              <w:color w:val="000000"/>
              <w:sz w:val="26"/>
              <w:szCs w:val="26"/>
              <w:shd w:fill="auto" w:val="clear"/>
              <w:lang w:val="x-none"/>
            </w:rPr>
            <w:t>Требования к документации по ценообразованию на этапе исполнения договора....................................................................................................................................15</w:t>
          </w:r>
        </w:p>
        <w:p>
          <w:pPr>
            <w:pStyle w:val="TOC1"/>
            <w:rPr/>
          </w:pPr>
          <w:hyperlink w:anchor="_Toc54646413">
            <w:r>
              <w:rPr>
                <w:rStyle w:val="Style14"/>
                <w:iCs/>
                <w:vanish w:val="false"/>
                <w:color w:val="000000"/>
                <w:shd w:fill="auto" w:val="clear"/>
              </w:rPr>
              <w:t>Приложения</w:t>
            </w:r>
            <w:r>
              <w:rPr>
                <w:rStyle w:val="Style14"/>
                <w:vanish/>
                <w:color w:val="000000"/>
                <w:shd w:fill="auto" w:val="clear"/>
              </w:rPr>
              <w:tab/>
            </w:r>
          </w:hyperlink>
          <w:r>
            <w:rPr>
              <w:vanish/>
              <w:color w:val="000000"/>
              <w:shd w:fill="auto" w:val="clear"/>
            </w:rPr>
            <w:t>15</w:t>
          </w:r>
        </w:p>
        <w:p>
          <w:pPr>
            <w:pStyle w:val="TOC1"/>
            <w:rPr>
              <w:highlight w:val="none"/>
              <w:shd w:fill="auto" w:val="clear"/>
            </w:rPr>
          </w:pPr>
          <w:r>
            <w:rPr>
              <w:rFonts w:eastAsia="" w:cs="" w:ascii="Calibri" w:hAnsi="Calibri" w:asciiTheme="minorHAnsi" w:cstheme="minorBidi" w:eastAsiaTheme="minorEastAsia" w:hAnsiTheme="minorHAnsi"/>
              <w:color w:val="000000"/>
              <w:shd w:fill="auto" w:val="clear"/>
            </w:rPr>
            <w:t xml:space="preserve"> </w:t>
          </w:r>
        </w:p>
        <w:p>
          <w:pPr>
            <w:pStyle w:val="Heading2"/>
            <w:tabs>
              <w:tab w:val="left" w:pos="6609" w:leader="none"/>
            </w:tabs>
            <w:ind w:left="0" w:hanging="0"/>
            <w:rPr>
              <w:highlight w:val="none"/>
              <w:shd w:fill="auto" w:val="clear"/>
            </w:rPr>
          </w:pPr>
          <w:r>
            <w:rPr>
              <w:rFonts w:eastAsia="Times New Roman" w:cs="Calibri Light" w:cstheme="majorHAnsi"/>
              <w:b w:val="false"/>
              <w:i/>
              <w:color w:val="000000"/>
              <w:shd w:fill="auto" w:val="clear"/>
              <w:lang w:val="ru-RU" w:eastAsia="ru-RU"/>
            </w:rPr>
            <w:tab/>
          </w:r>
        </w:p>
      </w:sdtContent>
    </w:sdt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i/>
          <w:color w:val="000000"/>
          <w:sz w:val="24"/>
          <w:szCs w:val="24"/>
          <w:shd w:fill="auto" w:val="clear"/>
        </w:rPr>
      </w:r>
      <w:bookmarkStart w:id="0" w:name="_GoBack_Копия_1"/>
      <w:bookmarkStart w:id="1" w:name="_GoBack"/>
      <w:bookmarkStart w:id="2" w:name="_GoBack_Копия_1"/>
      <w:bookmarkStart w:id="3" w:name="_GoBack"/>
      <w:bookmarkEnd w:id="2"/>
      <w:bookmarkEnd w:id="3"/>
      <w:r>
        <w:br w:type="page"/>
      </w:r>
    </w:p>
    <w:p>
      <w:pPr>
        <w:pStyle w:val="Heading1"/>
        <w:keepLines/>
        <w:numPr>
          <w:ilvl w:val="0"/>
          <w:numId w:val="0"/>
        </w:numPr>
        <w:ind w:left="357" w:hanging="0"/>
        <w:jc w:val="center"/>
        <w:rPr>
          <w:caps/>
          <w:lang w:val="ru-RU"/>
        </w:rPr>
      </w:pPr>
      <w:bookmarkStart w:id="4" w:name="_Toc54646395"/>
      <w:bookmarkStart w:id="5" w:name="_Toc51339692"/>
      <w:bookmarkEnd w:id="4"/>
      <w:bookmarkEnd w:id="5"/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1"/>
        </w:numPr>
        <w:rPr/>
      </w:pPr>
      <w:bookmarkStart w:id="6" w:name="_Toc46743505"/>
      <w:bookmarkStart w:id="7" w:name="_Toc54646396"/>
      <w:bookmarkEnd w:id="6"/>
      <w:bookmarkEnd w:id="7"/>
      <w:r>
        <w:rPr/>
        <w:t>Обозначения и сокращения</w:t>
      </w:r>
    </w:p>
    <w:p>
      <w:pPr>
        <w:pStyle w:val="Normal"/>
        <w:rPr>
          <w:rStyle w:val="Style8"/>
        </w:rPr>
      </w:pPr>
      <w:r>
        <w:rPr/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Трансформаторная 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ООО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Линия электропередачи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Правила технической эксплуатации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Руководящие документы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СанПиН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Санитарные правила и нормы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Саморегулируемые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ТЗ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Энерго-принимающее устройства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/>
      </w:pPr>
      <w:bookmarkStart w:id="8" w:name="_Toc46743506"/>
      <w:bookmarkStart w:id="9" w:name="_Toc54646397"/>
      <w:bookmarkEnd w:id="8"/>
      <w:bookmarkEnd w:id="9"/>
      <w:r>
        <w:rPr/>
        <w:t>Наименование закупаемой продукции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rPr>
          <w:sz w:val="26"/>
          <w:szCs w:val="26"/>
        </w:rPr>
      </w:pPr>
      <w:r>
        <w:rPr>
          <w:rFonts w:eastAsia="Times New Roman" w:cs="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en-US" w:bidi="ar-SA"/>
        </w:rPr>
        <w:t>"О</w:t>
      </w:r>
      <w:r>
        <w:rPr>
          <w:rFonts w:eastAsia="Times New Roman" w:cs=""/>
          <w:b w:val="false"/>
          <w:bCs w:val="false"/>
          <w:i w:val="false"/>
          <w:iCs/>
          <w:strike w:val="false"/>
          <w:dstrike w:val="false"/>
          <w:outline w:val="false"/>
          <w:shadow w:val="false"/>
          <w:color w:val="00000A"/>
          <w:kern w:val="0"/>
          <w:sz w:val="26"/>
          <w:szCs w:val="26"/>
          <w:u w:val="none"/>
          <w:shd w:fill="auto" w:val="clear"/>
          <w:em w:val="none"/>
          <w:lang w:val="ru-RU" w:eastAsia="ru-RU" w:bidi="ar-SA"/>
        </w:rPr>
        <w:t>КПД2 43.21.10 Мероприятия по подключению новых потребителей для нужд филиала "Хабаровские электрические сети", ЮРЭС, СРЭС</w:t>
      </w:r>
    </w:p>
    <w:p>
      <w:pPr>
        <w:pStyle w:val="Normal"/>
        <w:bidi w:val="0"/>
        <w:jc w:val="left"/>
        <w:rPr>
          <w:i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pPr>
      <w:r>
        <w:rPr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" w:ascii="Liberation Serif" w:hAnsi="Liberation Serif" w:cstheme="minorBidi" w:eastAsiaTheme="minorHAnsi"/>
          <w:b/>
          <w:bCs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Заказчик: </w:t>
      </w:r>
      <w:r>
        <w:rPr>
          <w:rFonts w:eastAsia="Calibri" w:cs="" w:ascii="Liberation Serif" w:hAnsi="Liberation Serif" w:cstheme="minorBidi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</w:t>
      </w: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Акционерное общество «ДРСК» филиал «Хабаровские электрические сети» (сокращенное наименование: АО «ДРСК» «ХЭС»);</w:t>
      </w:r>
    </w:p>
    <w:p>
      <w:pPr>
        <w:pStyle w:val="Normal"/>
        <w:widowControl w:val="false"/>
        <w:bidi w:val="0"/>
        <w:jc w:val="left"/>
        <w:rPr>
          <w:i w:val="false"/>
          <w:i w:val="false"/>
          <w:iCs w:val="false"/>
          <w:sz w:val="26"/>
          <w:szCs w:val="26"/>
        </w:rPr>
      </w:pPr>
      <w:r>
        <w:rPr>
          <w:rFonts w:eastAsia="Calibri" w:cs="Times New Roman" w:eastAsiaTheme="minorHAnsi"/>
          <w:b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Адрес (Место нахождения): Хабаровский край, г. Хабаровск, ул. Промышленная 13.</w:t>
      </w:r>
      <w:bookmarkStart w:id="10" w:name="_Toc54646398"/>
    </w:p>
    <w:p>
      <w:pPr>
        <w:pStyle w:val="Heading4"/>
        <w:numPr>
          <w:ilvl w:val="1"/>
          <w:numId w:val="1"/>
        </w:numPr>
        <w:rPr/>
      </w:pPr>
      <w:bookmarkStart w:id="11" w:name="_Toc46743507"/>
      <w:r>
        <w:rPr/>
        <w:t xml:space="preserve">Цель </w:t>
      </w:r>
      <w:bookmarkEnd w:id="11"/>
      <w:r>
        <w:rPr>
          <w:lang w:val="ru-RU"/>
        </w:rPr>
        <w:t>выполнения работ</w:t>
      </w:r>
      <w:bookmarkEnd w:id="10"/>
      <w:r>
        <w:rPr/>
        <w:t xml:space="preserve"> 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путём строительства (реконструкции) объектов электросетевого хозяйства на территории Хабаровский край.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кВ для нужд филиала АО «ДРСК» «Хабаровские ЭС» (далее – подрядные работы).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color w:val="000000"/>
          <w:sz w:val="26"/>
          <w:szCs w:val="26"/>
        </w:rPr>
        <w:t>Планируемый объём выполняемых работ составляет не более 34 500 000,00 руб. без учета НДС на весь срок действия договора.</w:t>
      </w:r>
    </w:p>
    <w:p>
      <w:pPr>
        <w:pStyle w:val="Normal"/>
        <w:tabs>
          <w:tab w:val="clear" w:pos="708"/>
          <w:tab w:val="left" w:pos="1695" w:leader="none"/>
        </w:tabs>
        <w:ind w:firstLine="709"/>
        <w:jc w:val="both"/>
        <w:rPr>
          <w:highlight w:val="yellow"/>
        </w:rPr>
      </w:pPr>
      <w:r>
        <w:rPr>
          <w:rFonts w:ascii="Liberation Serif" w:hAnsi="Liberation Serif"/>
          <w:color w:val="000000"/>
          <w:sz w:val="26"/>
          <w:szCs w:val="26"/>
        </w:rPr>
        <w:t>Выполнение инвестиционной программы филиала АО «Дальневосточная распределительная сетевая компания» «Хабаровские электрические сети» на 2026 г.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/>
      </w:pPr>
      <w:r>
        <w:rPr>
          <w:iCs/>
        </w:rPr>
        <w:t>Требования к продукции</w:t>
      </w:r>
    </w:p>
    <w:p>
      <w:pPr>
        <w:pStyle w:val="Heading4"/>
        <w:numPr>
          <w:ilvl w:val="1"/>
          <w:numId w:val="1"/>
        </w:numPr>
        <w:rPr/>
      </w:pPr>
      <w:bookmarkStart w:id="12" w:name="_Toc54646404"/>
      <w:r>
        <w:rPr/>
        <w:t xml:space="preserve">Требования к объемам и срокам </w:t>
      </w:r>
      <w:bookmarkEnd w:id="12"/>
      <w:r>
        <w:rPr>
          <w:lang w:val="ru-RU"/>
        </w:rPr>
        <w:t>выполнения работ</w:t>
      </w:r>
    </w:p>
    <w:p>
      <w:pPr>
        <w:pStyle w:val="Heading3"/>
        <w:numPr>
          <w:ilvl w:val="2"/>
          <w:numId w:val="1"/>
        </w:numPr>
        <w:rPr/>
      </w:pPr>
      <w:bookmarkStart w:id="13" w:name="_Toc54646405"/>
      <w:bookmarkEnd w:id="13"/>
      <w:r>
        <w:rPr>
          <w:lang w:val="ru-RU"/>
        </w:rPr>
        <w:t>Требования к видам и объемам работ</w:t>
      </w:r>
    </w:p>
    <w:p>
      <w:pPr>
        <w:pStyle w:val="Normal"/>
        <w:keepLines/>
        <w:tabs>
          <w:tab w:val="clear" w:pos="708"/>
          <w:tab w:val="left" w:pos="1695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6"/>
          <w:szCs w:val="26"/>
        </w:rPr>
        <w:t>Конкретные объёмы выполняемых работ определяются дополнительными соглашениями к заключенному договору (п. 1.3 настоящих Технических требований -   далее ТТ), оформляемыми Заказчиком по мере возникновения потребности в выполнении подрядных работ.</w:t>
      </w:r>
    </w:p>
    <w:p>
      <w:pPr>
        <w:pStyle w:val="Normal"/>
        <w:tabs>
          <w:tab w:val="clear" w:pos="708"/>
          <w:tab w:val="left" w:pos="540" w:leader="none"/>
        </w:tabs>
        <w:spacing w:lineRule="auto" w:line="240" w:before="0" w:after="0"/>
        <w:ind w:firstLine="624"/>
        <w:jc w:val="both"/>
        <w:rPr>
          <w:rFonts w:ascii="Liberation Serif" w:hAnsi="Liberation Serif"/>
          <w:color w:val="111111"/>
          <w:highlight w:val="none"/>
          <w:shd w:fill="auto" w:val="clear"/>
        </w:rPr>
      </w:pPr>
      <w:r>
        <w:rPr>
          <w:rFonts w:eastAsia="Times New Roman" w:cs="Times New Roman" w:ascii="Liberation Serif" w:hAnsi="Liberation Serif"/>
          <w:color w:val="111111"/>
          <w:sz w:val="26"/>
          <w:szCs w:val="26"/>
          <w:shd w:fill="auto" w:val="clear"/>
          <w:lang w:eastAsia="ru-RU"/>
        </w:rPr>
        <w:t>Стоимость подрядных работ в оформляемых дополнительных соглашениях определяется на основании проектно-сметной документацией, с применением тендерного коэффициента, предлагаемого Участником в своей заявке на этапе закупочной процедуры, с учетом конкретных объемов работ.</w:t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>
          <w:rFonts w:ascii="Liberation Serif" w:hAnsi="Liberation Serif"/>
        </w:rPr>
      </w:pPr>
      <w:r>
        <w:rPr>
          <w:rFonts w:eastAsia="Calibri" w:ascii="Liberation Serif" w:hAnsi="Liberation Serif" w:eastAsiaTheme="minorHAnsi"/>
          <w:color w:val="000000"/>
          <w:sz w:val="26"/>
          <w:szCs w:val="26"/>
        </w:rPr>
        <w:t xml:space="preserve">По результатам настоящей конкурентной процедуры Договор будет заключаться с предельной стоимостью 34 500 000 рублей (тридцать четыре миллиона пятьсот тысяч) рублей без учета НДС. </w:t>
      </w:r>
    </w:p>
    <w:p>
      <w:pPr>
        <w:pStyle w:val="Normal"/>
        <w:ind w:firstLine="709"/>
        <w:jc w:val="both"/>
        <w:rPr>
          <w:rFonts w:eastAsia="Calibri"/>
          <w:i/>
          <w:i/>
          <w:sz w:val="26"/>
          <w:szCs w:val="26"/>
        </w:rPr>
      </w:pPr>
      <w:r>
        <w:rPr>
          <w:rFonts w:eastAsia="Calibri" w:ascii="Liberation Serif" w:hAnsi="Liberation Serif" w:eastAsiaTheme="minorHAnsi"/>
          <w:sz w:val="26"/>
          <w:szCs w:val="26"/>
        </w:rPr>
        <w:t>Для оценки заявок Участников настоящей конкурентной закупки</w:t>
      </w:r>
      <w:bookmarkStart w:id="14" w:name="_GoBack1"/>
      <w:bookmarkEnd w:id="14"/>
      <w:r>
        <w:rPr>
          <w:rFonts w:eastAsia="Calibri" w:ascii="Liberation Serif" w:hAnsi="Liberation Serif" w:eastAsiaTheme="minorHAnsi"/>
          <w:sz w:val="26"/>
          <w:szCs w:val="26"/>
        </w:rPr>
        <w:t xml:space="preserve"> будет использоваться </w:t>
      </w:r>
      <w:r>
        <w:rPr>
          <w:rFonts w:eastAsia="Calibri" w:ascii="Liberation Serif" w:hAnsi="Liberation Serif" w:eastAsiaTheme="minorHAnsi"/>
          <w:b/>
          <w:sz w:val="26"/>
          <w:szCs w:val="26"/>
        </w:rPr>
        <w:t>Понижающий коэффициент K1 -  тендерный коэффициент</w:t>
      </w:r>
      <w:r>
        <w:rPr>
          <w:rFonts w:eastAsia="Calibri" w:ascii="Liberation Serif" w:hAnsi="Liberation Serif" w:eastAsiaTheme="minorHAnsi"/>
          <w:sz w:val="26"/>
          <w:szCs w:val="26"/>
        </w:rPr>
        <w:t>.</w:t>
      </w:r>
    </w:p>
    <w:p>
      <w:pPr>
        <w:pStyle w:val="Normal"/>
        <w:spacing w:lineRule="auto" w:line="240" w:before="0" w:after="0"/>
        <w:ind w:firstLine="624"/>
        <w:jc w:val="both"/>
        <w:rPr>
          <w:rFonts w:eastAsia="Calibri" w:eastAsiaTheme="minorHAnsi"/>
          <w:highlight w:val="none"/>
          <w:shd w:fill="auto" w:val="clear"/>
        </w:rPr>
      </w:pPr>
      <w:r>
        <w:rPr>
          <w:rFonts w:eastAsia="Calibri" w:cs="Times New Roman" w:eastAsiaTheme="minorHAnsi"/>
          <w:sz w:val="26"/>
          <w:szCs w:val="26"/>
          <w:shd w:fill="auto" w:val="clear"/>
          <w:lang w:eastAsia="ru-RU"/>
        </w:rPr>
        <w:t>Требования к документации по ценообразованию на этапе закупки представлены в пункте 3 настоящих ТТ.</w:t>
      </w:r>
    </w:p>
    <w:p>
      <w:pPr>
        <w:pStyle w:val="Normal"/>
        <w:ind w:hanging="0"/>
        <w:jc w:val="both"/>
        <w:rPr/>
      </w:pPr>
      <w:r>
        <w:rPr/>
      </w:r>
    </w:p>
    <w:p>
      <w:pPr>
        <w:pStyle w:val="Heading3"/>
        <w:numPr>
          <w:ilvl w:val="2"/>
          <w:numId w:val="1"/>
        </w:numPr>
        <w:ind w:left="1247" w:hanging="1304"/>
        <w:rPr>
          <w:lang w:val="ru-RU"/>
        </w:rPr>
      </w:pPr>
      <w:r>
        <w:rPr>
          <w:lang w:val="ru-RU"/>
        </w:rPr>
        <w:t>Требования к срокам выполнения работ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 xml:space="preserve">Общий срок выполнения работ: начало работ: с даты, следующей за датой заключения Договора; </w:t>
      </w:r>
    </w:p>
    <w:p>
      <w:pPr>
        <w:pStyle w:val="Heading3"/>
        <w:tabs>
          <w:tab w:val="clear" w:pos="0"/>
        </w:tabs>
        <w:ind w:left="-57" w:hanging="0"/>
        <w:rPr>
          <w:b w:val="false"/>
          <w:bCs w:val="false"/>
          <w:lang w:val="ru-RU"/>
        </w:rPr>
      </w:pPr>
      <w:r>
        <w:rPr>
          <w:b w:val="false"/>
          <w:bCs w:val="false"/>
          <w:lang w:val="ru-RU"/>
        </w:rPr>
        <w:t>Окончание работ: 31.12.2026 г</w:t>
      </w:r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sz w:val="24"/>
          <w:szCs w:val="24"/>
          <w:lang w:val="ru-RU"/>
        </w:rPr>
      </w:pPr>
      <w:bookmarkStart w:id="15" w:name="_Toc51339697"/>
      <w:bookmarkStart w:id="16" w:name="_Toc50125127"/>
      <w:bookmarkStart w:id="17" w:name="_Toc5464640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5"/>
      <w:bookmarkEnd w:id="16"/>
      <w:bookmarkEnd w:id="17"/>
      <w:bookmarkEnd w:id="18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4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5"/>
        <w:gridCol w:w="3828"/>
        <w:gridCol w:w="2268"/>
        <w:gridCol w:w="3114"/>
      </w:tblGrid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Style35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  <w:sz w:val="26"/>
                <w:szCs w:val="26"/>
              </w:rPr>
              <w:t>Кадастровые работы.</w:t>
            </w:r>
          </w:p>
          <w:p>
            <w:pPr>
              <w:pStyle w:val="ListParagraph"/>
              <w:widowControl w:val="false"/>
              <w:ind w:left="0" w:right="0" w:hanging="0"/>
              <w:jc w:val="both"/>
              <w:rPr>
                <w:strike w:val="false"/>
                <w:dstrike w:val="false"/>
                <w:color w:val="auto"/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trike w:val="false"/>
                <w:dstrike w:val="false"/>
                <w:color w:val="auto"/>
                <w:sz w:val="24"/>
                <w:szCs w:val="24"/>
                <w:lang w:val="ru-RU" w:eastAsia="ru-RU"/>
              </w:rPr>
              <w:t>Выполнение работ, в результате которых уполномоченные органы власти выдают разрешение на размещение объекта, принимают решение об установлении публичного сервитута; установление сервитута в порядке установленном Гражданским кодексом РФ, главой V.3 Земельного кодекса РФ. Закрепление границ земельного участка на местности.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15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Проектно-изыскательские работы.</w:t>
            </w:r>
          </w:p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Разработка и предоставление Заказчику рабочей документации и инженерных изысканий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30 календарных дней</w:t>
            </w:r>
          </w:p>
        </w:tc>
      </w:tr>
      <w:tr>
        <w:trPr/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sz w:val="26"/>
                <w:szCs w:val="26"/>
              </w:rPr>
              <w:t>Строительно-монтажные работы по строительству и реконструкции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с момента заключения дополнительного соглашения к договору подряда</w:t>
            </w:r>
          </w:p>
        </w:tc>
        <w:tc>
          <w:tcPr>
            <w:tcW w:w="3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40" w:after="40"/>
              <w:ind w:left="57" w:right="57" w:hanging="0"/>
              <w:rPr>
                <w:sz w:val="26"/>
                <w:szCs w:val="26"/>
              </w:rPr>
            </w:pP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в течение 60 календарных дней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1"/>
        </w:numPr>
        <w:rPr/>
      </w:pPr>
      <w:bookmarkStart w:id="19" w:name="_Toc54646410"/>
      <w:bookmarkStart w:id="20" w:name="_Toc51339698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19"/>
      <w:bookmarkEnd w:id="20"/>
      <w:r>
        <w:rPr>
          <w:sz w:val="24"/>
          <w:szCs w:val="24"/>
          <w:lang w:val="ru-RU"/>
        </w:rPr>
        <w:t xml:space="preserve">качеству </w:t>
      </w:r>
    </w:p>
    <w:p>
      <w:pPr>
        <w:pStyle w:val="Normal"/>
        <w:widowControl w:val="false"/>
        <w:spacing w:lineRule="auto" w:line="228" w:before="0" w:after="0"/>
        <w:ind w:left="0" w:right="0" w:hanging="0"/>
        <w:contextualSpacing/>
        <w:rPr>
          <w:sz w:val="26"/>
          <w:szCs w:val="26"/>
        </w:rPr>
      </w:pPr>
      <w:r>
        <w:rPr>
          <w:rFonts w:eastAsia="Times New Roman" w:cs=""/>
          <w:bCs w:val="false"/>
          <w:iCs w:val="false"/>
          <w:color w:val="00000A"/>
          <w:kern w:val="0"/>
          <w:sz w:val="26"/>
          <w:szCs w:val="26"/>
          <w:shd w:fill="auto" w:val="clear"/>
          <w:lang w:val="ru-RU" w:eastAsia="en-US" w:bidi="ar-SA"/>
        </w:rPr>
        <w:t>"О</w:t>
      </w:r>
      <w:r>
        <w:rPr>
          <w:rFonts w:eastAsia="Times New Roman" w:cs=""/>
          <w:bCs w:val="false"/>
          <w:iCs/>
          <w:color w:val="00000A"/>
          <w:kern w:val="0"/>
          <w:sz w:val="26"/>
          <w:szCs w:val="26"/>
          <w:shd w:fill="auto" w:val="clear"/>
          <w:lang w:val="ru-RU" w:eastAsia="ru-RU" w:bidi="ar-SA"/>
        </w:rPr>
        <w:t>КПД2 43.21.10 Мероприятия по подключению новых потребителей для нужд филиала "Хабаровские электрические сети", ЮРЭС, СРЭС</w:t>
      </w:r>
    </w:p>
    <w:tbl>
      <w:tblPr>
        <w:tblStyle w:val="afffff1"/>
        <w:tblW w:w="15452" w:type="dxa"/>
        <w:jc w:val="left"/>
        <w:tblInd w:w="-35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9"/>
        <w:gridCol w:w="2228"/>
        <w:gridCol w:w="7703"/>
        <w:gridCol w:w="1919"/>
        <w:gridCol w:w="2643"/>
      </w:tblGrid>
      <w:tr>
        <w:trPr>
          <w:trHeight w:val="322" w:hRule="atLeast"/>
        </w:trPr>
        <w:tc>
          <w:tcPr>
            <w:tcW w:w="9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2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703" w:type="dxa"/>
            <w:vMerge w:val="restart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56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95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28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703" w:type="dxa"/>
            <w:vMerge w:val="continue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5" w:right="908" w:hanging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2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" w:cstheme="minorBidi"/>
                <w:i/>
                <w:iCs/>
                <w:kern w:val="0"/>
                <w:sz w:val="24"/>
                <w:szCs w:val="24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28" w:before="0" w:after="0"/>
              <w:ind w:left="0" w:right="0" w:hanging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en-US" w:bidi="ar-SA"/>
              </w:rPr>
              <w:t>"О</w:t>
            </w:r>
            <w:r>
              <w:rPr>
                <w:rFonts w:eastAsia="Times New Roman" w:cs="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КПД2 43.21.10 Мероприятия по подключению новых потребителей для нужд филиала "Хабаровские электрические сети", ЮРЭС, СРЭС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выполнению работ.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Все работы выполняются в соответствии с настоящими Техническими требованиями.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6 настоящих ТТ.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Календарный график выполнения работ (с разбивкой на этапы) в формате 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/>
                <w:kern w:val="0"/>
                <w:sz w:val="24"/>
                <w:szCs w:val="24"/>
                <w:lang w:eastAsia="ru-RU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1.2.1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Подготовительные работы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1.Выполнение организационно - технических мероприятий, обеспечивающих безопасное выполнение работ: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оформление допуска для производства работ в зоне, действующей ЛЭП.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разработка рабочей документации;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Согласование с заказчиком Календарного графика выполнения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3. Доставка строительной техники к месту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4. Доставка к месту работы необходимых материалов.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5. Мероприятия по строительству ВЛ  и  с ТП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6.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 необходимо оформление допуска для производства работ в зоне, действующей ЛЭП.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  <w:t>1.2.2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shd w:fill="auto" w:val="clear"/>
                <w:lang w:eastAsia="ru-RU"/>
              </w:rPr>
            </w:pPr>
            <w:r>
              <w:rPr>
                <w:i/>
                <w:sz w:val="24"/>
                <w:szCs w:val="24"/>
              </w:rPr>
              <w:t>Требования к составу  работ по  инженерным изысканиям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spacing w:before="6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shd w:fill="auto" w:val="clear"/>
              </w:rPr>
              <w:t>Выполнить инженерные изыскания в соответствии с согласованной с заказчиком программой в необходимом составе, но не ограничиваясь: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450" w:leader="none"/>
              </w:tabs>
              <w:ind w:left="0" w:right="0" w:hanging="0"/>
              <w:rPr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•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ab/>
              <w:t>инженерно-геодезические изыскания (при необходимости, в случае согласования трассировки по требованию иных организаций или местных органов самоуправления).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1.3.1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Выполнение строительно-монтажных работ осуществляется 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на кадастровом плане территории).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ПУЭ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ПТЭ (действующее издание);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РФ» (Приказ Минстроя России от 04.08.2020 № 421);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48.13330.2019 «Организация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68.13330.2017 «Приемка в эксплуатацию законченных строительством объектов. Основные положения»;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76.13330.2016 «Электротехнические устройства»;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СП 126.13330.2017 «Геодезические работы в строительстве»;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РД–11-02-2006 «Требования к исполнительной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РД–11-05-2007 «Порядок ведения общего журнала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 </w:t>
            </w:r>
            <w:r>
              <w:rPr>
                <w:rFonts w:eastAsia="Times New Roman" w:cs="Times New Roman"/>
                <w:spacing w:val="-1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К выполнению СМР приступить только после письменного согласования Заказчиком рабочей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200"/>
              <w:contextualSpacing/>
              <w:jc w:val="both"/>
              <w:rPr>
                <w:rFonts w:eastAsia="Times New Roman" w:cs="Times New Roman"/>
                <w:color w:val="00000A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6"/>
                <w:szCs w:val="26"/>
                <w:lang w:val="ru-RU" w:eastAsia="ru-RU" w:bidi="ar-SA"/>
              </w:rPr>
              <w:t>-Правила пожарной безопасности;                                                        Кадастровые работы выполняются кадастровым инженером, в соответствии с требованиями Федерального закона от 24.07.2007 № 221-ФЗ "О кадастровой деятельности", с последними изменениями.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</w:t>
            </w:r>
          </w:p>
        </w:tc>
        <w:tc>
          <w:tcPr>
            <w:tcW w:w="9931" w:type="dxa"/>
            <w:gridSpan w:val="2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Разработка проектно-сметной документации в объеме рабочей документации.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95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1.4.1</w:t>
            </w:r>
          </w:p>
        </w:tc>
        <w:tc>
          <w:tcPr>
            <w:tcW w:w="22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2" w:leader="none"/>
              </w:tabs>
              <w:ind w:left="142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6"/>
                <w:szCs w:val="26"/>
                <w:shd w:fill="auto" w:val="clear"/>
              </w:rPr>
              <w:t>В состав проекта включить</w:t>
            </w:r>
            <w:r>
              <w:rPr>
                <w:b/>
                <w:color w:val="000000"/>
                <w:sz w:val="26"/>
                <w:szCs w:val="26"/>
                <w:shd w:fill="auto" w:val="clear"/>
              </w:rPr>
              <w:t>:</w:t>
            </w:r>
          </w:p>
        </w:tc>
        <w:tc>
          <w:tcPr>
            <w:tcW w:w="7703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Для объектов находящихся на территории г. Хабаровск.</w:t>
            </w:r>
          </w:p>
          <w:p>
            <w:pPr>
              <w:pStyle w:val="Normal"/>
              <w:widowControl w:val="false"/>
              <w:ind w:left="0" w:right="0" w:hang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Получить ИСОГД (в случае необходиомости).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Согласованную по выписке ИСОГД Схему границ поопорной трассировки на топооснове и КПТ (масштаб 1:500) объекта ТП;</w:t>
            </w:r>
          </w:p>
          <w:p>
            <w:pPr>
              <w:pStyle w:val="Normal"/>
              <w:widowControl w:val="false"/>
              <w:spacing w:lineRule="auto" w:line="276" w:before="0" w:after="200"/>
              <w:ind w:left="0" w:right="0" w:hanging="0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или схему границ публичного сервитута (сервитут);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Для объектов находящихся не на территории г. Хабаровск.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Согласованную по выписке с заинтересованными землепользователями и сетедержателями Схему границ поопорной трассировки объекта ТП на топографической основе (масштаб 1:2000; 1:5000 при наличии) (по согласованию с администрациями Муниципальных образований на основе Google карт) и КПТ;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Изготовить и согласовать с заказчиком: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в случае, если планируется использовать земли или часть земельного участка, находящихся в государственной или муниципальной собственности, без предоставления земельных участков и установления сервитута (с использованием системы координат, применяемой при ведении государственного кадастра недвижимости) (схему границ сервитута, публичного сервитута);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закрепление земельного участка на местности (вынос объекта в натуру);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перечетную ведомость и подеревную схему (в случае сноса зеленых насаждений). Разрешение на снос зеленых насаждений;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20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- ППР на производство земляных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contextualSpacing/>
              <w:jc w:val="both"/>
              <w:rPr/>
            </w:pPr>
            <w:r>
              <w:rPr>
                <w:color w:val="000000"/>
                <w:sz w:val="26"/>
                <w:szCs w:val="26"/>
              </w:rPr>
              <w:t>Указанные документы и исходные материалы предоставить в бумажном виде и на электронном носителе в форматах (*.pdf; *.dwg; *.tab; *.hml; *.sig). Работы по подготовке исходно разрешительной документации должны быть выполнены в соответствии с Земельным кодексом Российской Фудерации; Градостроительным кодексом Российской Федерации и другими законами Российской Федерации и Хабаровского края; нормативно-правовыми актами Российской Федерации, Хабаровского края и муниципальных образований Хабаровского края.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Схемы закрепления опор в грунте; ведомость стрел провесов проводов; конструктивно-строительные решения; мероприятия по защите ВЛ от грозовых перенапряжений; заземляющие устройства ВЛ; спецификации материалов, изделий, конструкций, оборудования, схемы монтажа птицезащитных устройств.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Краткую пояснительную записку с описанием строительных и электротехнических решений по ВЛ и ТП.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76"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Проектные решения разработать в соответствии с техническими условиями на технологическое присоединение.</w:t>
            </w:r>
          </w:p>
          <w:p>
            <w:pPr>
              <w:pStyle w:val="Normal"/>
              <w:widowControl w:val="false"/>
              <w:numPr>
                <w:ilvl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  <w:shd w:fill="auto" w:val="clear"/>
              </w:rPr>
              <w:t>Проектную документацию необходимо согласовать с начальником сетевого района, начальником Службы технологического присоединения, главным инженером СП «ЦЭС» филиала «ХЭС», сектором земельных отношений Отдела капитального строительства и инвестиций филиала «ХЭС» до начала производства работ.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Проектная документация должна быть разработана с учетом Технической политики Группы РусГидро, в том числе с учетом Технической политики.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before="60" w:after="0"/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Разработанные проекты передать по акту приемки-передачи на утверждение в филиал АО «ДРСК» «ХЭС» (в бумажном виде и на электронном носителе, формат.pdf, .dwg).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Виды работ: строительно-монтажные по строительству и реконструкции.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right="0" w:hanging="0"/>
              <w:jc w:val="both"/>
              <w:rPr/>
            </w:pPr>
            <w:r>
              <w:rPr>
                <w:color w:val="000000"/>
                <w:sz w:val="26"/>
                <w:szCs w:val="26"/>
              </w:rPr>
              <w:t>Срок выполнения строительно-монтажных работ – в течение 60 календарных дней с даты заключения дополнительного соглашения к договору подряда</w:t>
            </w:r>
          </w:p>
        </w:tc>
        <w:tc>
          <w:tcPr>
            <w:tcW w:w="1919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Согласие с требованием</w:t>
            </w:r>
          </w:p>
        </w:tc>
        <w:tc>
          <w:tcPr>
            <w:tcW w:w="26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right w:val="nil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</w:t>
            </w:r>
          </w:p>
        </w:tc>
        <w:tc>
          <w:tcPr>
            <w:tcW w:w="9931" w:type="dxa"/>
            <w:gridSpan w:val="2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2.1.2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1. Монтаж ВЛ: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приемки законченного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технической готовности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ЛЭП (лист с изменениями) – готовится и хранится в РЭС;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на устройство основания под опоры;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схема ЛЭП;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2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изоляции электропроводок и кабелей;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измерения сопротивления заземляющего устройства;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 проверки наличия цепи между заземленной установкой и заземлителем;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Лицензия на ВВ лабораторию (копия);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и сертификаты на примененные материалы, изделия,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Справка об устранении выявленных замечаний (при наличии);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Ордер на производство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2. Монтаж ТП (в случае монтажа ТП дополнительно предоставляются):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электромонтажных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 заземляющего устройства в составе: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освидетельствования скрытых работ по наружному контуру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Акт сдачи-приемки работ по монтажу наружного контура заземления ТП;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Протоколы приемо-сдаточных испытаний согласно ПУЭ;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Паспорта на установленное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оформляет исполнительную документацию на участки прохождения ЛЭП в местах пересечений, сближений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ЛЭП, на которые получены согласования и/или технические условия, с оформлением актов (справок) об их выполнении.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2.1.3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20" w:after="200"/>
              <w:jc w:val="both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1. При выполнении строительно-монтажных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Строгое соблюдение требований, содержащихся в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настоящих Технических требованиях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>
              <w:rPr>
                <w:rFonts w:eastAsia="Calibri" w:cs="Times New Roman" w:ascii="Liberation Serif" w:hAnsi="Liberation Serif" w:eastAsiaTheme="minorHAnsi"/>
                <w:b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настоящего Технического требования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. Подрядчик обязан незамедлительно приступать к устранению недостатков, о которых ему стало известно.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3. Письменно уведомлять Заказчика о необходимости проведения освидетельствования и / 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5.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6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- 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•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увеличить или сократить объем любой работы, включенной в Договор;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исключить любую работу;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изменить характер или качество, или вид любой части работы;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•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выполнить дополнительную работу любого характера, необходимую для завершения строительства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2.2.1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Cs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Исполнительная документация оформляется в 3 экземплярах: 1 экземпляр передается в РЭС и 1 экземпляр в соответствующее структурное подразделение филиала «Хабаровские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в структурное подразделение и РЭС), 1 экземпляр в отдел капитального строительства и инвестиций</w:t>
            </w:r>
            <w:r>
              <w:rPr>
                <w:rFonts w:eastAsia="Times New Roman" w:cs="Times New Roman" w:ascii="Liberation Serif" w:hAnsi="Liberation Serif"/>
                <w:bCs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Рабочая документация в электронном виде в формате PDF (в количестве 3-х экземпляров);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- Фотоматериалы выполненного объекта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</w:t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</w:t>
            </w:r>
          </w:p>
        </w:tc>
        <w:tc>
          <w:tcPr>
            <w:tcW w:w="9931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tcMar>
              <w:left w:w="113" w:type="dxa"/>
            </w:tcMar>
            <w:vAlign w:val="center"/>
          </w:tcPr>
          <w:p>
            <w:pPr>
              <w:pStyle w:val="Style34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highlight w:val="none"/>
                <w:shd w:fill="auto" w:val="clear"/>
                <w:lang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shd w:fill="auto" w:val="clear"/>
                <w:lang w:val="ru-RU" w:eastAsia="ru-RU" w:bidi="ar-SA"/>
              </w:rPr>
            </w:r>
          </w:p>
        </w:tc>
      </w:tr>
      <w:tr>
        <w:trPr/>
        <w:tc>
          <w:tcPr>
            <w:tcW w:w="95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3.1</w:t>
            </w:r>
          </w:p>
        </w:tc>
        <w:tc>
          <w:tcPr>
            <w:tcW w:w="2228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7703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u w:val="single"/>
                <w:shd w:fill="auto" w:val="clear"/>
                <w:lang w:val="ru-RU" w:eastAsia="ru-RU" w:bidi="ar-SA"/>
              </w:rPr>
              <w:t>Подрядчик обязан: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1) при необходимости по предварительному письменному согласованию с Заказчиком заключать договоры субподряда в соответствие с разделом 2.4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25" w:hanging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2) 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806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3) при подаче заявки письменно предоставить письмо о согласии и перечень;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-45" w:firstLine="45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Times New Roman" w:cs="Times New Roman" w:ascii="Liberation Serif" w:hAnsi="Liberation Serif"/>
                <w:iCs/>
                <w:kern w:val="0"/>
                <w:sz w:val="25"/>
                <w:szCs w:val="25"/>
                <w:shd w:fill="auto" w:val="clear"/>
                <w:lang w:val="x-none" w:eastAsia="ar-SA" w:bidi="ar-SA"/>
              </w:rPr>
              <w:t>При согласовании привлечения Субподрядчика Подрядчик представляет Заказчику: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проект договора с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 </w:t>
            </w:r>
            <w:r>
              <w:rPr>
                <w:rFonts w:eastAsia="Calibri" w:cs="Times New Roman" w:ascii="Liberation Serif" w:hAnsi="Liberation Serif" w:eastAsiaTheme="minorHAnsi"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сведения об объемах выполнения работ Субподрядчиком;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418" w:leader="none"/>
              </w:tabs>
              <w:suppressAutoHyphens w:val="true"/>
              <w:spacing w:before="0" w:after="0"/>
              <w:contextualSpacing/>
              <w:jc w:val="left"/>
              <w:rPr>
                <w:sz w:val="25"/>
                <w:szCs w:val="25"/>
              </w:rPr>
            </w:pPr>
            <w:r>
              <w:rPr>
                <w:rFonts w:eastAsia="Calibri" w:cs="Times New Roman" w:ascii="Liberation Serif" w:hAnsi="Liberation Serif" w:eastAsiaTheme="minorHAnsi"/>
                <w:i/>
                <w:iCs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–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Liberation Serif" w:hAnsi="Liberation Serif" w:eastAsiaTheme="minorHAnsi"/>
                <w:kern w:val="0"/>
                <w:sz w:val="25"/>
                <w:szCs w:val="25"/>
                <w:shd w:fill="auto" w:val="clear"/>
                <w:lang w:val="ru-RU" w:eastAsia="ru-RU" w:bidi="ar-SA"/>
              </w:rPr>
      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rFonts w:ascii="Times New Roman" w:hAnsi="Times New Roman" w:eastAsia="Calibri" w:cs="Times New Roman"/>
                <w:iCs/>
                <w:kern w:val="0"/>
                <w:sz w:val="26"/>
                <w:szCs w:val="26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Calibri" w:cs="Times New Roman"/>
                <w:iCs/>
                <w:kern w:val="0"/>
                <w:sz w:val="26"/>
                <w:szCs w:val="26"/>
                <w:shd w:fill="auto" w:val="clear"/>
                <w:lang w:val="ru-RU" w:eastAsia="ru-RU" w:bidi="ar-SA"/>
              </w:rPr>
            </w:r>
          </w:p>
        </w:tc>
        <w:tc>
          <w:tcPr>
            <w:tcW w:w="1919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lineRule="auto" w:line="240" w:before="0" w:after="0"/>
              <w:jc w:val="left"/>
              <w:rPr>
                <w:rFonts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4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8640" w:leader="none"/>
              </w:tabs>
              <w:suppressAutoHyphens w:val="true"/>
              <w:spacing w:before="0" w:after="120"/>
              <w:jc w:val="center"/>
              <w:rPr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-//-</w:t>
            </w:r>
          </w:p>
        </w:tc>
      </w:tr>
    </w:tbl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997" w:leader="none"/>
          <w:tab w:val="center" w:pos="4677" w:leader="none"/>
          <w:tab w:val="right" w:pos="9355" w:leader="none"/>
        </w:tabs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</w:p>
    <w:p>
      <w:pPr>
        <w:pStyle w:val="Normal"/>
        <w:rPr>
          <w:rFonts w:eastAsia="Calibri"/>
          <w:b/>
          <w:iCs/>
          <w:highlight w:val="none"/>
          <w:shd w:fill="auto" w:val="clear"/>
          <w:lang w:val="x-none" w:eastAsia="x-none"/>
        </w:rPr>
      </w:pPr>
      <w:r>
        <w:rPr>
          <w:rFonts w:eastAsia="Calibri"/>
          <w:b/>
          <w:iCs/>
          <w:shd w:fill="auto" w:val="clear"/>
          <w:lang w:val="x-none" w:eastAsia="x-none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276" w:before="0" w:after="0"/>
        <w:ind w:left="0" w:firstLine="709"/>
        <w:contextualSpacing w:val="false"/>
        <w:jc w:val="both"/>
        <w:rPr>
          <w:highlight w:val="none"/>
          <w:shd w:fill="auto" w:val="clear"/>
        </w:rPr>
      </w:pPr>
      <w:bookmarkStart w:id="21" w:name="_Toc126307933"/>
      <w:r>
        <w:rPr>
          <w:b/>
          <w:bCs/>
          <w:shd w:fill="auto" w:val="clear"/>
        </w:rPr>
        <w:t>Требования к документации по ценообразованию на этапе заключения (исполнения) договора</w:t>
      </w:r>
      <w:bookmarkEnd w:id="21"/>
    </w:p>
    <w:p>
      <w:pPr>
        <w:pStyle w:val="ListParagraph"/>
        <w:widowControl w:val="false"/>
        <w:spacing w:lineRule="auto" w:line="276" w:before="0" w:after="0"/>
        <w:ind w:left="709" w:hanging="0"/>
        <w:contextualSpacing w:val="false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b/>
          <w:bCs/>
          <w:color w:val="000000"/>
          <w:sz w:val="24"/>
          <w:szCs w:val="24"/>
          <w:shd w:fill="auto" w:val="clear"/>
        </w:rPr>
        <w:t>3.1. Требования к</w:t>
      </w:r>
      <w:r>
        <w:rPr>
          <w:b/>
          <w:color w:val="000000"/>
          <w:sz w:val="24"/>
          <w:szCs w:val="24"/>
          <w:shd w:fill="auto" w:val="clear"/>
        </w:rPr>
        <w:t xml:space="preserve"> составлению сметной документации (при заключении договора):</w:t>
      </w:r>
    </w:p>
    <w:p>
      <w:pPr>
        <w:pStyle w:val="Normal"/>
        <w:tabs>
          <w:tab w:val="clear" w:pos="708"/>
          <w:tab w:val="left" w:pos="709" w:leader="none"/>
        </w:tabs>
        <w:spacing w:lineRule="auto" w:line="276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3.1.1.</w:t>
        <w:tab/>
      </w:r>
      <w:r>
        <w:rPr>
          <w:rFonts w:cs="Times New Roman"/>
          <w:iCs/>
          <w:color w:val="000000"/>
          <w:sz w:val="26"/>
          <w:szCs w:val="26"/>
          <w:shd w:fill="auto" w:val="clear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</w:t>
      </w:r>
      <w:r>
        <w:rPr>
          <w:rFonts w:cs="Times New Roman"/>
          <w:b/>
          <w:bCs/>
          <w:iCs/>
          <w:color w:val="000000"/>
          <w:sz w:val="26"/>
          <w:szCs w:val="26"/>
          <w:shd w:fill="auto" w:val="clear"/>
        </w:rPr>
        <w:t>коэффициент указывается с точностью до третьего знака после запятой</w:t>
      </w:r>
      <w:r>
        <w:rPr>
          <w:rFonts w:cs="Times New Roman"/>
          <w:iCs/>
          <w:color w:val="000000"/>
          <w:sz w:val="26"/>
          <w:szCs w:val="26"/>
          <w:shd w:fill="auto" w:val="clear"/>
        </w:rPr>
        <w:t>).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ascii="Liberation Serif" w:hAnsi="Liberation Serif"/>
          <w:iCs/>
          <w:color w:val="000000"/>
          <w:sz w:val="26"/>
          <w:szCs w:val="26"/>
          <w:shd w:fill="auto" w:val="clear"/>
        </w:rPr>
        <w:t xml:space="preserve">3.1.2. </w:t>
      </w:r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2" w:name="_Hlk87537450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к Документации о закупке «Порядок и критерии оценки </w:t>
        <w:br/>
        <w:t>и сопоставления заявок»</w:t>
      </w:r>
      <w:bookmarkEnd w:id="22"/>
      <w:r>
        <w:rPr>
          <w:rFonts w:cs="Times New Roman"/>
          <w:iCs/>
          <w:color w:val="000000"/>
          <w:sz w:val="26"/>
          <w:szCs w:val="26"/>
          <w:shd w:fill="auto" w:val="clear"/>
        </w:rPr>
        <w:t xml:space="preserve">. </w:t>
      </w:r>
    </w:p>
    <w:p>
      <w:pPr>
        <w:pStyle w:val="Normal"/>
        <w:widowControl/>
        <w:tabs>
          <w:tab w:val="clear" w:pos="708"/>
          <w:tab w:val="left" w:pos="0" w:leader="none"/>
          <w:tab w:val="left" w:pos="709" w:leader="none"/>
        </w:tabs>
        <w:suppressAutoHyphens w:val="false"/>
        <w:bidi w:val="0"/>
        <w:spacing w:lineRule="auto" w:line="240" w:before="0" w:after="0"/>
        <w:ind w:left="0" w:right="0" w:firstLine="567"/>
        <w:jc w:val="both"/>
        <w:rPr>
          <w:color w:val="111111"/>
          <w:highlight w:val="none"/>
          <w:shd w:fill="auto" w:val="clear"/>
        </w:rPr>
      </w:pPr>
      <w:r>
        <w:rPr>
          <w:rFonts w:cs="Times New Roman"/>
          <w:iCs/>
          <w:color w:val="111111"/>
          <w:sz w:val="26"/>
          <w:szCs w:val="26"/>
          <w:shd w:fill="auto" w:val="clear"/>
        </w:rPr>
        <w:t>Указываемый Участником понижающий коэффициент K1 -  тендерный коэффициент является единым для всех позиций сметной документации, применяемой в дополнительных соглашениях.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3.1.3. 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>
      <w:pPr>
        <w:pStyle w:val="Normal"/>
        <w:tabs>
          <w:tab w:val="clear" w:pos="708"/>
          <w:tab w:val="left" w:pos="709" w:leader="none"/>
        </w:tabs>
        <w:spacing w:before="0" w:after="200"/>
        <w:ind w:firstLine="709"/>
        <w:contextualSpacing/>
        <w:jc w:val="both"/>
        <w:rPr>
          <w:highlight w:val="none"/>
          <w:shd w:fill="auto" w:val="clear"/>
        </w:rPr>
      </w:pPr>
      <w:r>
        <w:rPr>
          <w:rFonts w:eastAsia="Calibri" w:cs="Times New Roman" w:eastAsiaTheme="minorHAnsi"/>
          <w:iCs/>
          <w:color w:val="000000"/>
          <w:sz w:val="26"/>
          <w:szCs w:val="26"/>
          <w:shd w:fill="auto" w:val="clear"/>
        </w:rPr>
        <w:t>3.1.4.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b/>
          <w:bCs/>
          <w:shd w:fill="auto" w:val="clear"/>
        </w:rPr>
        <w:t xml:space="preserve">4. </w:t>
      </w: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>Перечень Давальческих материалов и запасных частей, Давальческого оборудования будет указан в техническом требовании при заключении дополнительного соглашения.</w:t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ListParagraph"/>
        <w:spacing w:lineRule="auto" w:line="276"/>
        <w:ind w:left="0" w:firstLine="709"/>
        <w:jc w:val="both"/>
        <w:rPr>
          <w:highlight w:val="none"/>
          <w:shd w:fill="auto" w:val="clear"/>
        </w:rPr>
      </w:pPr>
      <w:r>
        <w:rPr>
          <w:rFonts w:eastAsia="Times New Roman" w:ascii="Liberation Serif" w:hAnsi="Liberation Serif"/>
          <w:b/>
          <w:bCs/>
          <w:color w:val="000000"/>
          <w:sz w:val="26"/>
          <w:szCs w:val="26"/>
          <w:shd w:fill="auto" w:val="clear"/>
          <w:lang w:val="x-none"/>
        </w:rPr>
        <w:t xml:space="preserve">5. </w:t>
      </w:r>
      <w:r>
        <w:rPr>
          <w:rFonts w:eastAsia="Times New Roman" w:cs="Times New Roman"/>
          <w:b/>
          <w:bCs/>
          <w:color w:val="000000"/>
          <w:sz w:val="26"/>
          <w:szCs w:val="26"/>
          <w:shd w:fill="auto" w:val="clear"/>
          <w:lang w:val="x-none"/>
        </w:rPr>
        <w:t>Требования к документации по ценообразованию на этапе исполнения договора.</w:t>
      </w:r>
    </w:p>
    <w:p>
      <w:pPr>
        <w:pStyle w:val="Normal"/>
        <w:widowControl/>
        <w:suppressAutoHyphens w:val="false"/>
        <w:bidi w:val="0"/>
        <w:spacing w:before="0" w:after="0"/>
        <w:ind w:left="0" w:right="0" w:firstLine="567"/>
        <w:jc w:val="both"/>
        <w:rPr>
          <w:highlight w:val="none"/>
          <w:shd w:fill="auto" w:val="clear"/>
        </w:rPr>
      </w:pPr>
      <w:r>
        <w:rPr>
          <w:rFonts w:cs="Times New Roman"/>
          <w:sz w:val="26"/>
          <w:szCs w:val="26"/>
          <w:shd w:fill="auto" w:val="clear"/>
        </w:rPr>
        <w:t>5.1. Порядок расчета стоимости работ по дополнительным соглашениям устанавливается пунктом 3 договора подряда.</w:t>
      </w:r>
    </w:p>
    <w:p>
      <w:pPr>
        <w:pStyle w:val="ListParagraph"/>
        <w:spacing w:lineRule="auto" w:line="276"/>
        <w:ind w:left="0" w:firstLine="709"/>
        <w:jc w:val="both"/>
        <w:rPr>
          <w:b w:val="false"/>
          <w:bCs w:val="false"/>
          <w:highlight w:val="none"/>
          <w:shd w:fill="auto" w:val="clear"/>
        </w:rPr>
      </w:pPr>
      <w:r>
        <w:rPr>
          <w:rFonts w:eastAsia="" w:cs="Times New Roman" w:eastAsiaTheme="majorEastAsia"/>
          <w:b w:val="false"/>
          <w:bCs w:val="false"/>
          <w:color w:val="000000"/>
          <w:sz w:val="26"/>
          <w:szCs w:val="26"/>
          <w:shd w:fill="auto" w:val="clear"/>
          <w:lang w:val="x-none"/>
        </w:rPr>
        <w:t>5.2.</w:t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2 к настоящим Техническим требованиям, с применением понижающего коэффициента, определенного по результатам конкурентной процедуры.</w:t>
      </w:r>
    </w:p>
    <w:p>
      <w:pPr>
        <w:pStyle w:val="Normal"/>
        <w:ind w:firstLine="567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Heading1"/>
        <w:keepLines/>
        <w:tabs>
          <w:tab w:val="clear" w:pos="0"/>
        </w:tabs>
        <w:spacing w:before="120" w:after="0"/>
        <w:ind w:left="0" w:firstLine="567"/>
        <w:rPr>
          <w:sz w:val="26"/>
          <w:szCs w:val="26"/>
          <w:highlight w:val="none"/>
          <w:shd w:fill="auto" w:val="clear"/>
        </w:rPr>
      </w:pPr>
      <w:bookmarkStart w:id="23" w:name="_Toc54646413"/>
      <w:bookmarkEnd w:id="23"/>
      <w:r>
        <w:rPr>
          <w:i/>
          <w:iCs/>
          <w:sz w:val="26"/>
          <w:szCs w:val="26"/>
          <w:shd w:fill="auto" w:val="clear"/>
        </w:rPr>
        <w:t>Приложения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 1.  Расчет стоимости строительства ВЛ/КЛ, ГНБ, ТП, РП;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 2. Требования к оформлению и составлению сметной документации  на    выполнение работ при новом строительстве;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i/>
          <w:iCs/>
          <w:sz w:val="26"/>
          <w:szCs w:val="26"/>
          <w:shd w:fill="auto" w:val="clear"/>
        </w:rPr>
        <w:t>Приложение № 3 Регламент по координированию опор ВЛ и ТП в системе координат WGS-84.</w:t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/>
        <w:bCs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6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1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1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1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2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02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6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link w:val="2"/>
    <w:qFormat/>
    <w:rsid w:val="00ea61a8"/>
    <w:pPr>
      <w:tabs>
        <w:tab w:val="clear" w:pos="0"/>
      </w:tabs>
      <w:outlineLvl w:val="1"/>
    </w:pPr>
    <w:rPr/>
  </w:style>
  <w:style w:type="paragraph" w:styleId="Heading3">
    <w:name w:val="Heading 3"/>
    <w:basedOn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47" w:hanging="1304"/>
      <w:jc w:val="both"/>
      <w:outlineLvl w:val="2"/>
    </w:pPr>
    <w:rPr>
      <w:rFonts w:eastAsia="Calibri"/>
      <w:b/>
      <w:bCs/>
      <w:sz w:val="24"/>
      <w:szCs w:val="24"/>
      <w:lang w:val="x-none" w:eastAsia="x-none"/>
    </w:rPr>
  </w:style>
  <w:style w:type="paragraph" w:styleId="Heading4">
    <w:name w:val="Heading 4"/>
    <w:basedOn w:val="Heading3"/>
    <w:link w:val="4"/>
    <w:qFormat/>
    <w:rsid w:val="006629c9"/>
    <w:pPr>
      <w:outlineLvl w:val="3"/>
    </w:pPr>
    <w:rPr/>
  </w:style>
  <w:style w:type="paragraph" w:styleId="Heading5">
    <w:name w:val="Heading 5"/>
    <w:basedOn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basedOn w:val="DefaultParagraphFont"/>
    <w:uiPriority w:val="99"/>
    <w:unhideWhenUsed/>
    <w:rsid w:val="008e2ae8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bCs/>
      <w:color w:val="00000A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Заголовок 1 Знак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i/>
      <w:shd w:fill="FFFF99" w:val="clear"/>
    </w:rPr>
  </w:style>
  <w:style w:type="character" w:styleId="Style9" w:customStyle="1">
    <w:name w:val="Подподпункт Знак"/>
    <w:qFormat/>
    <w:locked/>
    <w:rsid w:val="0025139e"/>
    <w:rPr>
      <w:sz w:val="26"/>
      <w:szCs w:val="26"/>
    </w:rPr>
  </w:style>
  <w:style w:type="character" w:styleId="31" w:customStyle="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главление 3 Знак"/>
    <w:link w:val="35"/>
    <w:qFormat/>
    <w:rsid w:val="00c36f30"/>
    <w:rPr>
      <w:sz w:val="16"/>
      <w:szCs w:val="16"/>
    </w:rPr>
  </w:style>
  <w:style w:type="character" w:styleId="D9fyld" w:customStyle="1">
    <w:name w:val="d9fyld"/>
    <w:basedOn w:val="DefaultParagraphFont"/>
    <w:qFormat/>
    <w:rsid w:val="00630f30"/>
    <w:rPr/>
  </w:style>
  <w:style w:type="character" w:styleId="Style14" w:customStyle="1">
    <w:name w:val="Ссылка указателя"/>
    <w:qFormat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e2ae8"/>
    <w:rPr>
      <w:color w:val="605E5C"/>
      <w:shd w:fill="E1DFDD" w:val="clear"/>
    </w:rPr>
  </w:style>
  <w:style w:type="character" w:styleId="Style15" w:customStyle="1">
    <w:name w:val="Маркеры списка"/>
    <w:qFormat/>
    <w:rPr>
      <w:rFonts w:ascii="OpenSymbol" w:hAnsi="OpenSymbol" w:eastAsia="OpenSymbol" w:cs="OpenSymbol"/>
    </w:rPr>
  </w:style>
  <w:style w:type="character" w:styleId="FollowedHyperlink" w:customStyle="1">
    <w:name w:val="FollowedHyperlink"/>
    <w:basedOn w:val="DefaultParagraphFont"/>
    <w:rPr>
      <w:color w:val="954F72"/>
      <w:u w:val="single"/>
    </w:rPr>
  </w:style>
  <w:style w:type="character" w:styleId="Clipboard" w:customStyle="1">
    <w:name w:val="clipboard"/>
    <w:basedOn w:val="DefaultParagraphFont"/>
    <w:qFormat/>
    <w:rPr/>
  </w:style>
  <w:style w:type="character" w:styleId="Style16" w:customStyle="1">
    <w:name w:val="Символ нумерации"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sz w:val="18"/>
      <w:szCs w:val="18"/>
    </w:rPr>
  </w:style>
  <w:style w:type="character" w:styleId="14" w:customStyle="1">
    <w:name w:val="Знак концевой сноски1"/>
    <w:qFormat/>
    <w:rPr>
      <w:vertAlign w:val="superscript"/>
    </w:rPr>
  </w:style>
  <w:style w:type="character" w:styleId="15" w:customStyle="1">
    <w:name w:val="Гиперссылка1"/>
    <w:qFormat/>
    <w:rPr>
      <w:color w:val="0000FF"/>
      <w:u w:val="single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7" w:customStyle="1">
    <w:name w:val="Основной текст с отступом Знак"/>
    <w:qFormat/>
    <w:rPr>
      <w:sz w:val="28"/>
      <w:szCs w:val="28"/>
    </w:rPr>
  </w:style>
  <w:style w:type="character" w:styleId="Style18" w:customStyle="1">
    <w:name w:val="Заголовок Знак"/>
    <w:qFormat/>
    <w:rPr>
      <w:b/>
      <w:sz w:val="22"/>
      <w:szCs w:val="22"/>
      <w:shd w:fill="FFFFFF" w:val="clear"/>
    </w:rPr>
  </w:style>
  <w:style w:type="character" w:styleId="33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19" w:customStyle="1">
    <w:name w:val="Нижний колонтитул Знак"/>
    <w:qFormat/>
    <w:rPr>
      <w:sz w:val="28"/>
      <w:szCs w:val="28"/>
    </w:rPr>
  </w:style>
  <w:style w:type="character" w:styleId="Style20" w:customStyle="1">
    <w:name w:val="Тема примечания Знак"/>
    <w:qFormat/>
    <w:rPr>
      <w:b/>
      <w:bCs/>
    </w:rPr>
  </w:style>
  <w:style w:type="character" w:styleId="41" w:customStyle="1">
    <w:name w:val="4. Отчерк Знак"/>
    <w:qFormat/>
    <w:rPr>
      <w:sz w:val="24"/>
      <w:szCs w:val="24"/>
      <w:lang w:val="x-none" w:eastAsia="x-none"/>
    </w:rPr>
  </w:style>
  <w:style w:type="character" w:styleId="16" w:customStyle="1">
    <w:name w:val="1. Статья Знак"/>
    <w:qFormat/>
    <w:rPr>
      <w:sz w:val="24"/>
      <w:szCs w:val="24"/>
      <w:lang w:val="x-none" w:eastAsia="x-none"/>
    </w:rPr>
  </w:style>
  <w:style w:type="character" w:styleId="Style2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34" w:customStyle="1">
    <w:name w:val="3. Подпункт Знак"/>
    <w:qFormat/>
    <w:rPr>
      <w:b/>
      <w:bCs/>
      <w:sz w:val="24"/>
      <w:szCs w:val="24"/>
      <w:lang w:val="x-none" w:eastAsia="x-none"/>
    </w:rPr>
  </w:style>
  <w:style w:type="character" w:styleId="17" w:customStyle="1">
    <w:name w:val="Знак сноски1"/>
    <w:qFormat/>
    <w:rPr>
      <w:vertAlign w:val="superscript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Normal"/>
    <w:qFormat/>
    <w:pPr>
      <w:suppressLineNumbers/>
    </w:pPr>
    <w:rPr>
      <w:rFonts w:cs="Lohit Devanagari"/>
    </w:rPr>
  </w:style>
  <w:style w:type="paragraph" w:styleId="Style24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5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26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8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9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7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8" w:customStyle="1">
    <w:name w:val="Подпункт"/>
    <w:basedOn w:val="Normal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3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uiPriority w:val="39"/>
    <w:rsid w:val="008870d9"/>
    <w:pPr>
      <w:tabs>
        <w:tab w:val="clear" w:pos="708"/>
        <w:tab w:val="right" w:pos="9911" w:leader="dot"/>
      </w:tabs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9" w:customStyle="1">
    <w:name w:val="Раздел регламента"/>
    <w:basedOn w:val="Normal"/>
    <w:qFormat/>
    <w:rsid w:val="00e228fa"/>
    <w:pPr/>
    <w:rPr/>
  </w:style>
  <w:style w:type="paragraph" w:styleId="Style3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10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4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2"/>
    <w:pPr/>
    <w:rPr/>
  </w:style>
  <w:style w:type="paragraph" w:styleId="TOCHeading">
    <w:name w:val="TOC Heading"/>
    <w:basedOn w:val="Heading1"/>
    <w:uiPriority w:val="39"/>
    <w:qFormat/>
    <w:rsid w:val="00d22f6d"/>
    <w:pPr>
      <w:keepLines/>
      <w:tabs>
        <w:tab w:val="clear" w:pos="0"/>
      </w:tabs>
      <w:spacing w:before="480" w:after="60"/>
    </w:pPr>
    <w:rPr>
      <w:rFonts w:ascii="Cambria" w:hAnsi="Cambria"/>
      <w:color w:val="365F91"/>
    </w:rPr>
  </w:style>
  <w:style w:type="paragraph" w:styleId="E-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2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Основной текст с отступом 3 Знак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3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4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5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6" w:customStyle="1">
    <w:name w:val="Подподпункт"/>
    <w:basedOn w:val="Style28"/>
    <w:qFormat/>
    <w:rsid w:val="0025139e"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7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6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12" w:customStyle="1">
    <w:name w:val="Основной текст с отступом 3 Знак1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8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sz w:val="40"/>
      <w:szCs w:val="20"/>
      <w:lang w:val="ru-RU"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7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39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3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8b71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40" w:customStyle="1">
    <w:name w:val="Содержимое врезки"/>
    <w:basedOn w:val="Normal"/>
    <w:qFormat/>
    <w:pPr/>
    <w:rPr/>
  </w:style>
  <w:style w:type="paragraph" w:styleId="Style41" w:customStyle="1">
    <w:name w:val="Содержимое таблицы"/>
    <w:basedOn w:val="Normal"/>
    <w:qFormat/>
    <w:pPr>
      <w:widowControl w:val="false"/>
      <w:suppressLineNumbers/>
    </w:pPr>
    <w:rPr>
      <w:sz w:val="20"/>
      <w:szCs w:val="20"/>
    </w:rPr>
  </w:style>
  <w:style w:type="paragraph" w:styleId="Xl154" w:customStyle="1">
    <w:name w:val="xl154"/>
    <w:basedOn w:val="Normal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3" w:customStyle="1">
    <w:name w:val="xl153"/>
    <w:basedOn w:val="Normal"/>
    <w:qFormat/>
    <w:pPr>
      <w:pBdr>
        <w:top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2" w:customStyle="1">
    <w:name w:val="xl152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51" w:customStyle="1">
    <w:name w:val="xl151"/>
    <w:basedOn w:val="Normal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50" w:customStyle="1">
    <w:name w:val="xl150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9" w:customStyle="1">
    <w:name w:val="xl149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48" w:customStyle="1">
    <w:name w:val="xl148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7" w:customStyle="1">
    <w:name w:val="xl14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6" w:customStyle="1">
    <w:name w:val="xl146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5" w:customStyle="1">
    <w:name w:val="xl145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4" w:customStyle="1">
    <w:name w:val="xl144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3" w:customStyle="1">
    <w:name w:val="xl143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142" w:customStyle="1">
    <w:name w:val="xl142"/>
    <w:basedOn w:val="Normal"/>
    <w:qFormat/>
    <w:pPr>
      <w:pBdr>
        <w:top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41" w:customStyle="1">
    <w:name w:val="xl14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40" w:customStyle="1">
    <w:name w:val="xl14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9" w:customStyle="1">
    <w:name w:val="xl139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8" w:customStyle="1">
    <w:name w:val="xl138"/>
    <w:basedOn w:val="Normal"/>
    <w:qFormat/>
    <w:pPr>
      <w:pBdr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7" w:customStyle="1">
    <w:name w:val="xl137"/>
    <w:basedOn w:val="Normal"/>
    <w:qFormat/>
    <w:pPr>
      <w:pBdr>
        <w:top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6" w:customStyle="1">
    <w:name w:val="xl13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5" w:customStyle="1">
    <w:name w:val="xl135"/>
    <w:basedOn w:val="Normal"/>
    <w:qFormat/>
    <w:pPr>
      <w:pBdr>
        <w:top w:val="single" w:sz="4" w:space="0" w:color="000000"/>
        <w:lef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34" w:customStyle="1">
    <w:name w:val="xl134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3" w:customStyle="1">
    <w:name w:val="xl13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2" w:customStyle="1">
    <w:name w:val="xl13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1" w:customStyle="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30" w:customStyle="1">
    <w:name w:val="xl13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9" w:customStyle="1">
    <w:name w:val="xl1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18"/>
      <w:szCs w:val="18"/>
    </w:rPr>
  </w:style>
  <w:style w:type="paragraph" w:styleId="Xl128" w:customStyle="1">
    <w:name w:val="xl128"/>
    <w:basedOn w:val="Normal"/>
    <w:qFormat/>
    <w:pPr>
      <w:pBdr>
        <w:top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7" w:customStyle="1">
    <w:name w:val="xl127"/>
    <w:basedOn w:val="Normal"/>
    <w:qFormat/>
    <w:pPr>
      <w:pBdr>
        <w:top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6" w:customStyle="1">
    <w:name w:val="xl126"/>
    <w:basedOn w:val="Normal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5" w:customStyle="1">
    <w:name w:val="xl125"/>
    <w:basedOn w:val="Normal"/>
    <w:qFormat/>
    <w:pPr>
      <w:pBdr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4" w:customStyle="1">
    <w:name w:val="xl12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3" w:customStyle="1">
    <w:name w:val="xl123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2" w:customStyle="1">
    <w:name w:val="xl122"/>
    <w:basedOn w:val="Normal"/>
    <w:qFormat/>
    <w:pPr>
      <w:pBdr>
        <w:right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121" w:customStyle="1">
    <w:name w:val="xl121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20" w:customStyle="1">
    <w:name w:val="xl120"/>
    <w:basedOn w:val="Normal"/>
    <w:qFormat/>
    <w:pPr>
      <w:suppressAutoHyphens w:val="false"/>
      <w:spacing w:before="280" w:after="280"/>
      <w:jc w:val="center"/>
    </w:pPr>
    <w:rPr>
      <w:b/>
      <w:bCs/>
      <w:sz w:val="24"/>
      <w:szCs w:val="24"/>
    </w:rPr>
  </w:style>
  <w:style w:type="paragraph" w:styleId="Xl119" w:customStyle="1">
    <w:name w:val="xl119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8" w:customStyle="1">
    <w:name w:val="xl118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7" w:customStyle="1">
    <w:name w:val="xl11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6" w:customStyle="1">
    <w:name w:val="xl116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5" w:customStyle="1">
    <w:name w:val="xl11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4" w:customStyle="1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113" w:customStyle="1">
    <w:name w:val="xl11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2" w:customStyle="1">
    <w:name w:val="xl112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1" w:customStyle="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10" w:customStyle="1">
    <w:name w:val="xl110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9" w:customStyle="1">
    <w:name w:val="xl109"/>
    <w:basedOn w:val="Normal"/>
    <w:qFormat/>
    <w:pPr>
      <w:pBdr>
        <w:top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8" w:customStyle="1">
    <w:name w:val="xl108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7" w:customStyle="1">
    <w:name w:val="xl107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6" w:customStyle="1">
    <w:name w:val="xl106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5" w:customStyle="1">
    <w:name w:val="xl105"/>
    <w:basedOn w:val="Normal"/>
    <w:qFormat/>
    <w:pPr>
      <w:pBdr>
        <w:top w:val="single" w:sz="4" w:space="0" w:color="000000"/>
        <w:lef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4" w:customStyle="1">
    <w:name w:val="xl104"/>
    <w:basedOn w:val="Normal"/>
    <w:qFormat/>
    <w:pPr>
      <w:pBdr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3" w:customStyle="1">
    <w:name w:val="xl103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2" w:customStyle="1">
    <w:name w:val="xl102"/>
    <w:basedOn w:val="Normal"/>
    <w:qFormat/>
    <w:pPr>
      <w:pBdr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101" w:customStyle="1">
    <w:name w:val="xl10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100" w:customStyle="1">
    <w:name w:val="xl10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9" w:customStyle="1">
    <w:name w:val="xl99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8" w:customStyle="1">
    <w:name w:val="xl9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7" w:customStyle="1">
    <w:name w:val="xl9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6" w:customStyle="1">
    <w:name w:val="xl96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5" w:customStyle="1">
    <w:name w:val="xl95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4" w:customStyle="1">
    <w:name w:val="xl9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3" w:customStyle="1">
    <w:name w:val="xl93"/>
    <w:basedOn w:val="Normal"/>
    <w:qFormat/>
    <w:pPr>
      <w:pBdr>
        <w:top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2" w:customStyle="1">
    <w:name w:val="xl9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91" w:customStyle="1">
    <w:name w:val="xl9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90" w:customStyle="1">
    <w:name w:val="xl9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89" w:customStyle="1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8" w:customStyle="1">
    <w:name w:val="xl88"/>
    <w:basedOn w:val="Normal"/>
    <w:qFormat/>
    <w:pPr>
      <w:pBdr>
        <w:top w:val="single" w:sz="4" w:space="0" w:color="000000"/>
      </w:pBdr>
      <w:suppressAutoHyphens w:val="false"/>
      <w:spacing w:before="280" w:after="280"/>
      <w:jc w:val="center"/>
    </w:pPr>
    <w:rPr>
      <w:sz w:val="16"/>
      <w:szCs w:val="16"/>
    </w:rPr>
  </w:style>
  <w:style w:type="paragraph" w:styleId="Xl87" w:customStyle="1">
    <w:name w:val="xl87"/>
    <w:basedOn w:val="Normal"/>
    <w:qFormat/>
    <w:pPr>
      <w:pBdr>
        <w:bottom w:val="single" w:sz="4" w:space="0" w:color="000000"/>
      </w:pBdr>
      <w:suppressAutoHyphens w:val="false"/>
      <w:spacing w:before="280" w:after="280"/>
      <w:jc w:val="center"/>
    </w:pPr>
    <w:rPr>
      <w:sz w:val="24"/>
      <w:szCs w:val="24"/>
    </w:rPr>
  </w:style>
  <w:style w:type="paragraph" w:styleId="Xl86" w:customStyle="1">
    <w:name w:val="xl86"/>
    <w:basedOn w:val="Normal"/>
    <w:qFormat/>
    <w:pPr>
      <w:suppressAutoHyphens w:val="false"/>
      <w:spacing w:before="280" w:after="280"/>
      <w:jc w:val="center"/>
    </w:pPr>
    <w:rPr>
      <w:sz w:val="18"/>
      <w:szCs w:val="18"/>
    </w:rPr>
  </w:style>
  <w:style w:type="paragraph" w:styleId="Xl85" w:customStyle="1">
    <w:name w:val="xl85"/>
    <w:basedOn w:val="Normal"/>
    <w:qFormat/>
    <w:pPr>
      <w:suppressAutoHyphens w:val="false"/>
      <w:spacing w:before="280" w:after="280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83" w:customStyle="1">
    <w:name w:val="xl83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Xl82" w:customStyle="1">
    <w:name w:val="xl82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1" w:customStyle="1">
    <w:name w:val="xl81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80" w:customStyle="1">
    <w:name w:val="xl80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9" w:customStyle="1">
    <w:name w:val="xl79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8" w:customStyle="1">
    <w:name w:val="xl78"/>
    <w:basedOn w:val="Normal"/>
    <w:qFormat/>
    <w:pPr>
      <w:suppressAutoHyphens w:val="false"/>
      <w:spacing w:before="280" w:after="280"/>
      <w:jc w:val="center"/>
    </w:pPr>
    <w:rPr>
      <w:sz w:val="20"/>
      <w:szCs w:val="20"/>
    </w:rPr>
  </w:style>
  <w:style w:type="paragraph" w:styleId="Xl77" w:customStyle="1">
    <w:name w:val="xl77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76" w:customStyle="1">
    <w:name w:val="xl76"/>
    <w:basedOn w:val="Normal"/>
    <w:qFormat/>
    <w:pPr>
      <w:suppressAutoHyphens w:val="false"/>
      <w:spacing w:before="280" w:after="280"/>
      <w:jc w:val="right"/>
    </w:pPr>
    <w:rPr>
      <w:b/>
      <w:bCs/>
      <w:sz w:val="24"/>
      <w:szCs w:val="24"/>
    </w:rPr>
  </w:style>
  <w:style w:type="paragraph" w:styleId="Xl75" w:customStyle="1">
    <w:name w:val="xl75"/>
    <w:basedOn w:val="Normal"/>
    <w:qFormat/>
    <w:pPr>
      <w:suppressAutoHyphens w:val="false"/>
      <w:spacing w:before="280" w:after="280"/>
      <w:jc w:val="right"/>
    </w:pPr>
    <w:rPr>
      <w:sz w:val="24"/>
      <w:szCs w:val="24"/>
    </w:rPr>
  </w:style>
  <w:style w:type="paragraph" w:styleId="Xl74" w:customStyle="1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3" w:customStyle="1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false"/>
      <w:spacing w:before="280" w:after="280"/>
      <w:jc w:val="center"/>
    </w:pPr>
    <w:rPr>
      <w:sz w:val="20"/>
      <w:szCs w:val="20"/>
    </w:rPr>
  </w:style>
  <w:style w:type="paragraph" w:styleId="Xl72" w:customStyle="1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1" w:customStyle="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false"/>
      <w:spacing w:before="280" w:after="280"/>
      <w:jc w:val="right"/>
    </w:pPr>
    <w:rPr>
      <w:sz w:val="20"/>
      <w:szCs w:val="20"/>
    </w:rPr>
  </w:style>
  <w:style w:type="paragraph" w:styleId="Xl70" w:customStyle="1">
    <w:name w:val="xl70"/>
    <w:basedOn w:val="Normal"/>
    <w:qFormat/>
    <w:pPr>
      <w:pBdr>
        <w:bottom w:val="single" w:sz="4" w:space="0" w:color="000000"/>
        <w:right w:val="single" w:sz="8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9" w:customStyle="1">
    <w:name w:val="xl69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8" w:customStyle="1">
    <w:name w:val="xl68"/>
    <w:basedOn w:val="Normal"/>
    <w:qFormat/>
    <w:pPr>
      <w:suppressAutoHyphens w:val="false"/>
      <w:spacing w:before="280" w:after="280"/>
      <w:jc w:val="right"/>
    </w:pPr>
    <w:rPr>
      <w:sz w:val="20"/>
      <w:szCs w:val="20"/>
    </w:rPr>
  </w:style>
  <w:style w:type="paragraph" w:styleId="Xl67" w:customStyle="1">
    <w:name w:val="xl67"/>
    <w:basedOn w:val="Normal"/>
    <w:qFormat/>
    <w:pPr>
      <w:pBdr>
        <w:bottom w:val="single" w:sz="4" w:space="0" w:color="000000"/>
      </w:pBdr>
      <w:suppressAutoHyphens w:val="false"/>
      <w:spacing w:before="280" w:after="280"/>
    </w:pPr>
    <w:rPr>
      <w:sz w:val="20"/>
      <w:szCs w:val="20"/>
    </w:rPr>
  </w:style>
  <w:style w:type="paragraph" w:styleId="Xl66" w:customStyle="1">
    <w:name w:val="xl66"/>
    <w:basedOn w:val="Normal"/>
    <w:qFormat/>
    <w:pPr>
      <w:suppressAutoHyphens w:val="false"/>
      <w:spacing w:before="280" w:after="280"/>
    </w:pPr>
    <w:rPr>
      <w:sz w:val="16"/>
      <w:szCs w:val="16"/>
    </w:rPr>
  </w:style>
  <w:style w:type="paragraph" w:styleId="Xl65" w:customStyle="1">
    <w:name w:val="xl65"/>
    <w:basedOn w:val="Normal"/>
    <w:qFormat/>
    <w:pPr>
      <w:suppressAutoHyphens w:val="false"/>
      <w:spacing w:before="280" w:after="280"/>
    </w:pPr>
    <w:rPr>
      <w:sz w:val="20"/>
      <w:szCs w:val="20"/>
    </w:rPr>
  </w:style>
  <w:style w:type="paragraph" w:styleId="Xl64" w:customStyle="1">
    <w:name w:val="xl64"/>
    <w:basedOn w:val="Normal"/>
    <w:qFormat/>
    <w:pPr>
      <w:suppressAutoHyphens w:val="false"/>
      <w:spacing w:before="280" w:after="280"/>
    </w:pPr>
    <w:rPr>
      <w:b/>
      <w:bCs/>
      <w:sz w:val="18"/>
      <w:szCs w:val="18"/>
    </w:rPr>
  </w:style>
  <w:style w:type="paragraph" w:styleId="Xl63" w:customStyle="1">
    <w:name w:val="xl63"/>
    <w:basedOn w:val="Normal"/>
    <w:qFormat/>
    <w:pPr>
      <w:suppressAutoHyphens w:val="false"/>
      <w:spacing w:before="280" w:after="280"/>
    </w:pPr>
    <w:rPr>
      <w:sz w:val="18"/>
      <w:szCs w:val="18"/>
    </w:rPr>
  </w:style>
  <w:style w:type="paragraph" w:styleId="Msonormal" w:customStyle="1">
    <w:name w:val="msonormal"/>
    <w:basedOn w:val="Normal"/>
    <w:qFormat/>
    <w:pPr>
      <w:suppressAutoHyphens w:val="false"/>
      <w:spacing w:before="280" w:after="280"/>
    </w:pPr>
    <w:rPr>
      <w:sz w:val="24"/>
      <w:szCs w:val="24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-1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4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before="360" w:after="120"/>
      <w:jc w:val="center"/>
      <w:textAlignment w:val="baseline"/>
      <w:outlineLvl w:val="1"/>
    </w:pPr>
    <w:rPr>
      <w:b/>
      <w:bCs/>
      <w:caps/>
    </w:rPr>
  </w:style>
  <w:style w:type="paragraph" w:styleId="114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before="240" w:after="240"/>
      <w:ind w:left="704" w:hanging="504"/>
      <w:textAlignment w:val="baseline"/>
      <w:outlineLvl w:val="1"/>
    </w:pPr>
    <w:rPr>
      <w:sz w:val="24"/>
      <w:szCs w:val="20"/>
    </w:rPr>
  </w:style>
  <w:style w:type="paragraph" w:styleId="115" w:customStyle="1">
    <w:name w:val="Заголовок1"/>
    <w:basedOn w:val="Normal"/>
    <w:qFormat/>
    <w:pPr>
      <w:widowControl w:val="false"/>
      <w:spacing w:before="0" w:after="120"/>
      <w:jc w:val="center"/>
      <w:textAlignment w:val="baseline"/>
    </w:pPr>
    <w:rPr>
      <w:b/>
      <w:bCs/>
      <w:sz w:val="32"/>
      <w:szCs w:val="20"/>
    </w:rPr>
  </w:style>
  <w:style w:type="paragraph" w:styleId="42" w:customStyle="1">
    <w:name w:val="4. Отчерк"/>
    <w:basedOn w:val="Normal"/>
    <w:qFormat/>
    <w:pPr>
      <w:widowControl w:val="false"/>
      <w:numPr>
        <w:ilvl w:val="0"/>
        <w:numId w:val="2"/>
      </w:numPr>
    </w:pPr>
    <w:rPr>
      <w:sz w:val="24"/>
      <w:szCs w:val="24"/>
      <w:lang w:val="x-none" w:eastAsia="x-none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38" w:customStyle="1">
    <w:name w:val="3. Подпункт"/>
    <w:basedOn w:val="Heading3"/>
    <w:qFormat/>
    <w:pPr>
      <w:keepNext w:val="false"/>
      <w:widowControl w:val="false"/>
      <w:tabs>
        <w:tab w:val="left" w:pos="0" w:leader="none"/>
        <w:tab w:val="left" w:pos="1620" w:leader="none"/>
      </w:tabs>
      <w:suppressAutoHyphens w:val="false"/>
      <w:spacing w:before="0" w:after="0"/>
      <w:ind w:left="1224" w:hanging="504"/>
      <w:textAlignment w:val="baseline"/>
    </w:pPr>
    <w:rPr/>
  </w:style>
  <w:style w:type="paragraph" w:styleId="28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uppressAutoHyphens w:val="false"/>
      <w:spacing w:before="0" w:after="0"/>
      <w:textAlignment w:val="baseline"/>
    </w:pPr>
    <w:rPr>
      <w:b w:val="false"/>
    </w:rPr>
  </w:style>
  <w:style w:type="paragraph" w:styleId="116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left" w:pos="0" w:leader="none"/>
        <w:tab w:val="left" w:pos="2340" w:leader="none"/>
      </w:tabs>
      <w:suppressAutoHyphens w:val="false"/>
      <w:spacing w:before="0" w:after="0"/>
      <w:ind w:left="0" w:right="1462" w:hanging="0"/>
      <w:jc w:val="center"/>
      <w:textAlignment w:val="baseline"/>
    </w:pPr>
    <w:rPr>
      <w:b w:val="false"/>
    </w:rPr>
  </w:style>
  <w:style w:type="paragraph" w:styleId="Style42" w:customStyle="1">
    <w:name w:val="Подпункт договора"/>
    <w:basedOn w:val="Normal"/>
    <w:qFormat/>
    <w:pPr>
      <w:tabs>
        <w:tab w:val="clear" w:pos="708"/>
        <w:tab w:val="left" w:pos="360" w:leader="none"/>
      </w:tabs>
    </w:pPr>
    <w:rPr>
      <w:rFonts w:ascii="Arial" w:hAnsi="Arial"/>
      <w:sz w:val="20"/>
      <w:szCs w:val="20"/>
    </w:rPr>
  </w:style>
  <w:style w:type="paragraph" w:styleId="Style43" w:customStyle="1">
    <w:name w:val="Пункт договора"/>
    <w:basedOn w:val="Normal"/>
    <w:qFormat/>
    <w:pPr>
      <w:widowControl w:val="false"/>
    </w:pPr>
    <w:rPr>
      <w:rFonts w:ascii="Arial" w:hAnsi="Arial"/>
      <w:sz w:val="20"/>
      <w:szCs w:val="20"/>
    </w:rPr>
  </w:style>
  <w:style w:type="paragraph" w:styleId="29" w:customStyle="1">
    <w:name w:val="Знак2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 w:customStyle="1">
    <w:name w:val="Знак Знак Знак Знак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qFormat/>
    <w:pPr>
      <w:spacing w:before="240" w:after="0"/>
    </w:pPr>
    <w:rPr>
      <w:b/>
      <w:sz w:val="22"/>
      <w:szCs w:val="20"/>
    </w:rPr>
  </w:style>
  <w:style w:type="paragraph" w:styleId="Caption111" w:customStyle="1">
    <w:name w:val="caption111"/>
    <w:basedOn w:val="Normal"/>
    <w:next w:val="Normal"/>
    <w:qFormat/>
    <w:pPr>
      <w:widowControl w:val="false"/>
      <w:spacing w:before="120" w:after="120"/>
      <w:textAlignment w:val="baseline"/>
    </w:pPr>
    <w:rPr>
      <w:b/>
      <w:bCs/>
      <w:sz w:val="24"/>
      <w:szCs w:val="24"/>
    </w:rPr>
  </w:style>
  <w:style w:type="paragraph" w:styleId="Caption12" w:customStyle="1">
    <w:name w:val="caption1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5" w:customStyle="1">
    <w:name w:val="Заголовок таблицы"/>
    <w:basedOn w:val="Style41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numbering" w:styleId="WW8Num1" w:customStyle="1">
    <w:name w:val="WW8Num1"/>
    <w:qFormat/>
  </w:style>
  <w:style w:type="numbering" w:styleId="118" w:customStyle="1">
    <w:name w:val="Нет списка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1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732F-729F-4FD3-9C6F-6B17B0F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Application>AlterOffice/3.3.1.3$Linux_X86_64 LibreOffice_project/90d829a0d92d6015ad4fa014ce4f460a7fe6c0ba</Application>
  <AppVersion>15.0000</AppVersion>
  <Pages>10</Pages>
  <Words>3228</Words>
  <Characters>23923</Characters>
  <CharactersWithSpaces>26602</CharactersWithSpaces>
  <Paragraphs>315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2024-05-08T00:45:00Z</dcterms:created>
  <dc:creator>Быстров Олег Геннадьевич</dc:creator>
  <dc:description/>
  <dc:language>ru-RU</dc:language>
  <cp:lastModifiedBy>chuyasova_eg</cp:lastModifiedBy>
  <cp:lastPrinted>2026-03-03T09:25:44Z</cp:lastPrinted>
  <dcterms:modified xsi:type="dcterms:W3CDTF">2026-07-10T13:35:10Z</dcterms:modified>
  <cp:revision>109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